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«Armstrong-14-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SSP-A-220-014-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«Armstrong-15-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» SSP-A-220-015-P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«Armstrong-16-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SSP-A-220-016-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of white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emission is used for operating in the AC supply for indoor illumination of objects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. The l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has a </w:t>
      </w:r>
      <w:r w:rsidR="0031665C">
        <w:rPr>
          <w:rFonts w:ascii="Times New Roman" w:hAnsi="Times New Roman" w:cs="Times New Roman"/>
          <w:sz w:val="24"/>
          <w:szCs w:val="24"/>
          <w:lang w:val="en-US"/>
        </w:rPr>
        <w:t>plastic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 xml:space="preserve"> housing with a cover prism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glass.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5629BF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 – Electrical and illuminating parameters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5629BF" w:rsidRPr="00312BD2" w:rsidTr="005629BF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420A2B" w:rsidP="005E47D2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Light flux*</w:t>
            </w:r>
            <w:r w:rsidR="005629BF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9BF" w:rsidRPr="002D3E2F" w:rsidRDefault="005629BF" w:rsidP="005E47D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BF" w:rsidRPr="002D3E2F" w:rsidRDefault="005629BF" w:rsidP="005E47D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205850" w:rsidRP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 w:rsidR="00420A2B"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** </w:t>
      </w:r>
      <w:r w:rsidR="007400B9"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A5685" w:rsidRPr="00FA5685" w:rsidRDefault="00FA5685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C184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31665C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0.</w:t>
      </w:r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205850" w:rsidRPr="006D2AFC" w:rsidRDefault="003529C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205850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6D2AF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D2AFC"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sizes 595x595x40mm;</w:t>
      </w:r>
    </w:p>
    <w:p w:rsid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4.5 kg;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6.2 The reclamation in a standard form should be claimed to the manufacturer with a compulsive attachment of a rejection report, without which the reclamation cannot be accepted. In the act it is necessary to specify the date of the light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>malfunction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mode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>, the conditions under which it is detected.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A document 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63276"/>
    <w:rsid w:val="002032CE"/>
    <w:rsid w:val="00205850"/>
    <w:rsid w:val="00273059"/>
    <w:rsid w:val="002C46EE"/>
    <w:rsid w:val="002D3E2F"/>
    <w:rsid w:val="0031665C"/>
    <w:rsid w:val="00320AB9"/>
    <w:rsid w:val="003529C7"/>
    <w:rsid w:val="003C1F09"/>
    <w:rsid w:val="00420A2B"/>
    <w:rsid w:val="004630B1"/>
    <w:rsid w:val="005146F1"/>
    <w:rsid w:val="00532B17"/>
    <w:rsid w:val="005629BF"/>
    <w:rsid w:val="005970B7"/>
    <w:rsid w:val="005E47D2"/>
    <w:rsid w:val="00685522"/>
    <w:rsid w:val="006D2AFC"/>
    <w:rsid w:val="007400B9"/>
    <w:rsid w:val="00871D40"/>
    <w:rsid w:val="00986F0E"/>
    <w:rsid w:val="00991569"/>
    <w:rsid w:val="00A64517"/>
    <w:rsid w:val="00B63776"/>
    <w:rsid w:val="00C038FD"/>
    <w:rsid w:val="00C41D29"/>
    <w:rsid w:val="00D15080"/>
    <w:rsid w:val="00DA7B5E"/>
    <w:rsid w:val="00DE4702"/>
    <w:rsid w:val="00E242EC"/>
    <w:rsid w:val="00E375B8"/>
    <w:rsid w:val="00E97B61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23</cp:revision>
  <dcterms:created xsi:type="dcterms:W3CDTF">2019-05-20T07:23:00Z</dcterms:created>
  <dcterms:modified xsi:type="dcterms:W3CDTF">2019-05-22T11:53:00Z</dcterms:modified>
</cp:coreProperties>
</file>